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DE" w:rsidRDefault="00DF5D7B">
      <w:pPr>
        <w:rPr>
          <w:rFonts w:ascii="Arial" w:hAnsi="Arial" w:cs="Arial"/>
          <w:color w:val="333333"/>
        </w:rPr>
      </w:pPr>
      <w:bookmarkStart w:id="0" w:name="_GoBack"/>
      <w:r>
        <w:rPr>
          <w:rFonts w:ascii="Arial" w:hAnsi="Arial" w:cs="Arial"/>
          <w:color w:val="333333"/>
        </w:rPr>
        <w:t>1904-8920</w:t>
      </w:r>
    </w:p>
    <w:bookmarkEnd w:id="0"/>
    <w:p w:rsidR="00DF5D7B" w:rsidRDefault="00DF5D7B">
      <w:pPr>
        <w:rPr>
          <w:rFonts w:ascii="Arial" w:hAnsi="Arial" w:cs="Arial"/>
          <w:color w:val="333333"/>
        </w:rPr>
      </w:pPr>
    </w:p>
    <w:p w:rsidR="00DF5D7B" w:rsidRPr="00DF5D7B" w:rsidRDefault="00DF5D7B" w:rsidP="00DF5D7B">
      <w:pPr>
        <w:shd w:val="clear" w:color="auto" w:fill="FFFFFF"/>
        <w:outlineLvl w:val="1"/>
        <w:rPr>
          <w:rFonts w:ascii="Arial" w:hAnsi="Arial" w:cs="Arial"/>
          <w:color w:val="333333"/>
          <w:sz w:val="48"/>
          <w:szCs w:val="48"/>
        </w:rPr>
      </w:pPr>
      <w:hyperlink r:id="rId5" w:history="1">
        <w:r w:rsidRPr="00DF5D7B">
          <w:rPr>
            <w:rFonts w:ascii="Arial" w:hAnsi="Arial" w:cs="Arial"/>
            <w:color w:val="AC5300"/>
            <w:sz w:val="48"/>
            <w:szCs w:val="48"/>
          </w:rPr>
          <w:t xml:space="preserve">Man drikker jo ikke bare for at drikke </w:t>
        </w:r>
      </w:hyperlink>
    </w:p>
    <w:p w:rsidR="00DF5D7B" w:rsidRPr="00DF5D7B" w:rsidRDefault="00DF5D7B" w:rsidP="00DF5D7B">
      <w:pPr>
        <w:shd w:val="clear" w:color="auto" w:fill="FFFFFF"/>
        <w:rPr>
          <w:rFonts w:ascii="Arial" w:hAnsi="Arial" w:cs="Arial"/>
          <w:color w:val="999999"/>
        </w:rPr>
      </w:pPr>
      <w:r w:rsidRPr="00DF5D7B">
        <w:rPr>
          <w:rFonts w:ascii="Arial" w:hAnsi="Arial" w:cs="Arial"/>
          <w:color w:val="999999"/>
          <w:sz w:val="22"/>
          <w:szCs w:val="22"/>
        </w:rPr>
        <w:t xml:space="preserve">Onsdag, 20 </w:t>
      </w:r>
      <w:proofErr w:type="gramStart"/>
      <w:r w:rsidRPr="00DF5D7B">
        <w:rPr>
          <w:rFonts w:ascii="Arial" w:hAnsi="Arial" w:cs="Arial"/>
          <w:color w:val="999999"/>
          <w:sz w:val="22"/>
          <w:szCs w:val="22"/>
        </w:rPr>
        <w:t>Juni</w:t>
      </w:r>
      <w:proofErr w:type="gramEnd"/>
      <w:r w:rsidRPr="00DF5D7B">
        <w:rPr>
          <w:rFonts w:ascii="Arial" w:hAnsi="Arial" w:cs="Arial"/>
          <w:color w:val="999999"/>
          <w:sz w:val="22"/>
          <w:szCs w:val="22"/>
        </w:rPr>
        <w:t xml:space="preserve"> 2007 14:53 Jacob Demant, </w:t>
      </w:r>
      <w:proofErr w:type="spellStart"/>
      <w:r w:rsidRPr="00DF5D7B">
        <w:rPr>
          <w:rFonts w:ascii="Arial" w:hAnsi="Arial" w:cs="Arial"/>
          <w:color w:val="999999"/>
          <w:sz w:val="22"/>
          <w:szCs w:val="22"/>
        </w:rPr>
        <w:t>Ph.D.</w:t>
      </w:r>
      <w:proofErr w:type="spellEnd"/>
      <w:r w:rsidRPr="00DF5D7B">
        <w:rPr>
          <w:rFonts w:ascii="Arial" w:hAnsi="Arial" w:cs="Arial"/>
          <w:color w:val="999999"/>
          <w:sz w:val="22"/>
          <w:szCs w:val="22"/>
        </w:rPr>
        <w:t xml:space="preserve"> studerende Århus Universitet, og Jeanette Østergaard, </w:t>
      </w:r>
      <w:proofErr w:type="spellStart"/>
      <w:r w:rsidRPr="00DF5D7B">
        <w:rPr>
          <w:rFonts w:ascii="Arial" w:hAnsi="Arial" w:cs="Arial"/>
          <w:color w:val="999999"/>
          <w:sz w:val="22"/>
          <w:szCs w:val="22"/>
        </w:rPr>
        <w:t>Ph.D.</w:t>
      </w:r>
      <w:proofErr w:type="spellEnd"/>
      <w:r w:rsidRPr="00DF5D7B">
        <w:rPr>
          <w:rFonts w:ascii="Arial" w:hAnsi="Arial" w:cs="Arial"/>
          <w:color w:val="999999"/>
          <w:sz w:val="22"/>
          <w:szCs w:val="22"/>
        </w:rPr>
        <w:t xml:space="preserve"> studerende Københavns Universitet. </w:t>
      </w:r>
    </w:p>
    <w:p w:rsidR="00DF5D7B" w:rsidRPr="00DF5D7B" w:rsidRDefault="00DF5D7B" w:rsidP="00DF5D7B">
      <w:pPr>
        <w:shd w:val="clear" w:color="auto" w:fill="FFFFFF"/>
        <w:rPr>
          <w:rFonts w:ascii="Arial" w:hAnsi="Arial" w:cs="Arial"/>
          <w:color w:val="999999"/>
        </w:rPr>
      </w:pPr>
      <w:r>
        <w:rPr>
          <w:rFonts w:ascii="Arial" w:hAnsi="Arial" w:cs="Arial"/>
          <w:noProof/>
          <w:color w:val="AC5300"/>
        </w:rPr>
        <w:drawing>
          <wp:inline distT="0" distB="0" distL="0" distR="0">
            <wp:extent cx="152400" cy="152400"/>
            <wp:effectExtent l="0" t="0" r="0" b="0"/>
            <wp:docPr id="1" name="Billede 1" descr="Udskriv">
              <a:hlinkClick xmlns:a="http://schemas.openxmlformats.org/drawingml/2006/main" r:id="rId6" tooltip="&quot;Udskri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skriv">
                      <a:hlinkClick r:id="rId6" tooltip="&quot;Udskriv&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Den vigtigste faktor i forhold til at forklare et øget forbrug hos de unge er forældrenes nuværende livsstil, herunder især deres rygevaner. Dog spiller familiestrukturen også en mindre rolle, idet unge, der bor med kun en forælder, drikker mere end andre.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 xml:space="preserve">I tråd med andre forskningsresultater viser projekt ”Unge og Alkohol” </w:t>
      </w:r>
      <w:proofErr w:type="gramStart"/>
      <w:r w:rsidRPr="00DF5D7B">
        <w:rPr>
          <w:rFonts w:ascii="Arial" w:hAnsi="Arial" w:cs="Arial"/>
          <w:color w:val="333333"/>
        </w:rPr>
        <w:t>(PUNA )</w:t>
      </w:r>
      <w:proofErr w:type="gramEnd"/>
      <w:r w:rsidRPr="00DF5D7B">
        <w:rPr>
          <w:rFonts w:ascii="Arial" w:hAnsi="Arial" w:cs="Arial"/>
          <w:color w:val="333333"/>
        </w:rPr>
        <w:t>, at det helt afgørende for et højt nuværende alkoholforbrug er debutalderen, dvs., hvornår man starter med at drikke sig fuld. Unge, der fortæller, at de drak sig fulde første gang i en tidlig alder, er også dem, der drikker mest og mest fuldskabsorienteret, når de er 15-16 år.</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Overordnet set peger de statistiske analyser altså på, at fuldskab er så udbredt et (dansk) fænomen blandt unge, at det vanskeligt lader sig forklare af familiemæssige forhold. At drikke fuldskabsorienteret er det, langt over flertallet af unge gør, når de går i 9. klasse.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Fuldskab - i fællesskab</w:t>
      </w:r>
      <w:r w:rsidRPr="00DF5D7B">
        <w:rPr>
          <w:rFonts w:ascii="Arial" w:hAnsi="Arial" w:cs="Arial"/>
          <w:b/>
          <w:bCs/>
          <w:color w:val="333333"/>
        </w:rPr>
        <w:br/>
      </w:r>
      <w:r w:rsidRPr="00DF5D7B">
        <w:rPr>
          <w:rFonts w:ascii="Arial" w:hAnsi="Arial" w:cs="Arial"/>
          <w:color w:val="333333"/>
        </w:rPr>
        <w:t>Danske unges alkoholforbrug er tæt forbundet med, at interessen for at deltage i forskellige typer af fester øges i 8., men især i 9. klasse. Således viser de statistiske analyser, at et kontinuerligt og relativt omfattende alkoholforbrug er uløseligt knyttet til frekvensen af de unges deltagelse i fester – især én bestemt type: Privatfester.</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Disse typer af fester afholdes oftest i private hjem, hvor forældrene enten holder sig i baggrunden eller slet ikke er til stede. I fokusgruppeinterviewene bliver privatfesterne diskuteret intensivt, og interviewene peger på, at der er flere forskellige grunde til, at det er vigtigt for de unge at være med til festerne.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For det første er det via privatfesterne, at de har mulighed for at fejre deres venskaber, og det er et enestående voksenfrit rum, hvor de kan ”slappe af” og ”føle sig hjemme”. Festen giver mulighed for at fastholde og udfolde venskaber på en anden måde end i hverdagen, fordi festerne er ensbetydende med, at man er sammen med sine venner på en anderledes og ny måde.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Privatfester vigtige</w:t>
      </w:r>
      <w:r w:rsidRPr="00DF5D7B">
        <w:rPr>
          <w:rFonts w:ascii="Arial" w:hAnsi="Arial" w:cs="Arial"/>
          <w:color w:val="333333"/>
        </w:rPr>
        <w:br/>
        <w:t>For det andet er privatfester vigtige, idet det er her, alkohol bliver omformet fra at være noget negativt til noget meget positivt.</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At drikke alkohol alene, opfattes fx af de unge som noget meget negativt, ja faktisk tendentielt patologisk, for ”så har man jo et problem”, som de unge siger i fokusgruppeinterviewene. Men når alkohol indtages i fællesskab – til festerne – er det udelukkende defineret som noget positivt.</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For gennem alkohol viser man, at man er ”med på noget” og tør at ”give slip”. Med andre ord bruger man alkoholen til at vise, at man forpligtiger sig over for sine venner – at man gerne vil dem og dermed sætter dem højere end de formaninger om at drikke mindre, som man evt. har med hjemmefra.</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lastRenderedPageBreak/>
        <w:t>Dette bliver endnu mere tydeligt, når man ser, hvordan de unge er meget orienterede om at samstemme deres fuldskab, således at alle indtræder i samme tilstand på ca. det samme tidspunkt af festen. Derfor er det også så meget desto sværere at komme til en fest og beslutte, at man ikke vil drikke – fordi man dermed indirekte kommunikerer, at man ikke har sympati over for de andre.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Afskåret fra at deltage i festlivet</w:t>
      </w:r>
      <w:r w:rsidRPr="00DF5D7B">
        <w:rPr>
          <w:rFonts w:ascii="Arial" w:hAnsi="Arial" w:cs="Arial"/>
          <w:b/>
          <w:bCs/>
          <w:color w:val="333333"/>
        </w:rPr>
        <w:br/>
      </w:r>
      <w:r w:rsidRPr="00DF5D7B">
        <w:rPr>
          <w:rFonts w:ascii="Arial" w:hAnsi="Arial" w:cs="Arial"/>
          <w:color w:val="333333"/>
        </w:rPr>
        <w:t xml:space="preserve">Unge, som ikke drikker alkohol, er i nogen grad afskåret fra at deltage i festlivet og dermed fra at skabe </w:t>
      </w:r>
      <w:proofErr w:type="spellStart"/>
      <w:r w:rsidRPr="00DF5D7B">
        <w:rPr>
          <w:rFonts w:ascii="Arial" w:hAnsi="Arial" w:cs="Arial"/>
          <w:color w:val="333333"/>
        </w:rPr>
        <w:t>vennenetværk</w:t>
      </w:r>
      <w:proofErr w:type="spellEnd"/>
      <w:r w:rsidRPr="00DF5D7B">
        <w:rPr>
          <w:rFonts w:ascii="Arial" w:hAnsi="Arial" w:cs="Arial"/>
          <w:color w:val="333333"/>
        </w:rPr>
        <w:t xml:space="preserve"> igennem dette rum samt at deltage i diskussionerne om weekendens aktiviteter mandag morgen i skoleklassen.</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Unge, som ofte går til fester og derfor også drikker meget, formår imidlertid at tiltrække sig større opmærksomhed og fremstille sig selv som mere modne. De unge samarbejder om at skabe en konstruktion af modenhed, som betyder, at langt de fleste, også de ikke-drikkende, støtter op omkring en forestilling om, at det er igennem at drikke og gå til fester, at man opnår en identitet som rigtig ung og ikke længere barn(lig). Med andre ord har fester og alkohol stor betydning for de unges prestige og popularitet. De unge, som drikker mest, er samtidig dem, som er mest populære, og som har mest at skulle have sagt i gruppen af jævnaldrende.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Alkohol indgår i kønsspillet</w:t>
      </w:r>
      <w:r w:rsidRPr="00DF5D7B">
        <w:rPr>
          <w:rFonts w:ascii="Arial" w:hAnsi="Arial" w:cs="Arial"/>
          <w:color w:val="333333"/>
        </w:rPr>
        <w:br/>
        <w:t>Spørgeskemaundersøgelsen peger på, at når drenge og piger er stort set lige gamle og går i samme klasse, så drikker de sig også fulde lige hyppigt. Det skyldes, at piger og drenge går lige hyppigt til privatfester, og at det er til privatfesterne, de unge eksperimenterer med alkohol og herigennem udvikler et mere kontinuerligt alkoholforbrug.</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Men at drenge og piger drikker sig fulde lige hyppigt – i hvert fald når de selv skal rapportere det – betyder ikke, at de nødvendigvis indtager samme mængder for at opleve fuldskab.</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Drengene drikker fortsat langt flere genstande end pigerne, når de drikker alkohol. I det kvalitative materiale er det tydeligt, at disse forskelle i drenge og pigers alkoholforbrug ikke (alene) kan henføres til forskelle i deres kropsstørrelser og dermed til, hvilke mængder alkohol, de kan tåle.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Ikke adgang til samme festrum</w:t>
      </w:r>
      <w:r w:rsidRPr="00DF5D7B">
        <w:rPr>
          <w:rFonts w:ascii="Arial" w:hAnsi="Arial" w:cs="Arial"/>
          <w:b/>
          <w:bCs/>
          <w:color w:val="333333"/>
        </w:rPr>
        <w:br/>
      </w:r>
      <w:r w:rsidRPr="00DF5D7B">
        <w:rPr>
          <w:rFonts w:ascii="Arial" w:hAnsi="Arial" w:cs="Arial"/>
          <w:color w:val="333333"/>
        </w:rPr>
        <w:t>Fester er lige vigtige for drenge og piger, når det gælder måder at forsøge sig med seksualisering af hinanden og at afprøve og eksperimentere med maskuline og feminine identiteter. Men drenge og piger har, i hvert fald ifølge fokusgrupperne, ikke adgang til de samme festrum, hvor de heteroseksuelle spil kan udspille sig.</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Pigerne bliver typisk inviteret til fester med lidt ældre drenge, hvilket vil sige, at for en meget stor del af pigerne betyder det, at de positionerer sig seksuelt i relation til de lidt ældre drenge. Det traditionelle kønsforhold udspiller sig igennem, at de her er nødt til at drikke med på samme måde som de lidt ældre for derigennem at vise, at de er med på noget. Alkoholen bliver en måde at vise, at de kaster sig ud i kønsspillet og tør både lade sig seksualisere og selv seksualisere andre. Med andre ord er alkoholen en måde at kommunikere femininitet på.</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Drikker ofte i rene drengegrupper</w:t>
      </w:r>
      <w:r w:rsidRPr="00DF5D7B">
        <w:rPr>
          <w:rFonts w:ascii="Arial" w:hAnsi="Arial" w:cs="Arial"/>
          <w:color w:val="333333"/>
        </w:rPr>
        <w:br/>
        <w:t xml:space="preserve">De jævnaldrende drenge har derimod ikke samme mulighed for at deltage i kønsblandede fester. Derfor ender de oftere med at drikke i rene drengegrupper eller, såfremt de deltager </w:t>
      </w:r>
      <w:r w:rsidRPr="00DF5D7B">
        <w:rPr>
          <w:rFonts w:ascii="Arial" w:hAnsi="Arial" w:cs="Arial"/>
          <w:color w:val="333333"/>
        </w:rPr>
        <w:lastRenderedPageBreak/>
        <w:t>i en kønsblandet fest, kan det ende med, at de sidder “alene” blandt deres jævnaldrende drengevenner og drikker, mens pigerne bejler til de ældre fyre.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For drengene bliver alkoholen en vigtig måde at kommunikere maskulinitet. Blandt de yngre drenge (8. og 9. klasse) drikkes der i højere grad ”for at drikke” og i mindre grad for direkte at indgå i kønsspillet med pigerne. Drengene opnår ofte styrkede maskuline identiteter ved at drikke meget.</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Fordi der eksisterer disse diskurser om, hvordan henholdsvis drenge og piger skaber deres kønsidentiteter igennem alkohol, er det oftere pigerne, der risikerer at fremstå forkert, hvis de drikker for meget. De risikerer at blive opfattet som billige.</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Hvor meget må unge drikke?</w:t>
      </w:r>
      <w:r w:rsidRPr="00DF5D7B">
        <w:rPr>
          <w:rFonts w:ascii="Arial" w:hAnsi="Arial" w:cs="Arial"/>
          <w:b/>
          <w:bCs/>
          <w:color w:val="333333"/>
        </w:rPr>
        <w:br/>
      </w:r>
      <w:r w:rsidRPr="00DF5D7B">
        <w:rPr>
          <w:rFonts w:ascii="Arial" w:hAnsi="Arial" w:cs="Arial"/>
          <w:color w:val="333333"/>
        </w:rPr>
        <w:t>Forældrene til de unge, som deltager i spørgeskemaundersøgelsen, har besvaret et selvstændigt spørgeskema. Heri er de blandt andet blevet spurgt om deres holdninger til, at unge drikker, og hvorvidt de har regler for, hvor meget deres børn må drikke, og i så fald, hvor meget de må drikke, samt hvornår deres børn skal være hjemme fra fester.</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Hvad angår holdningerne synes forældrene at dele sig i to lejre i og med, at næsten halvdelen af forældrene svarer, at de er enige eller overvejende enige i, at unge kun lærer at finde grænsen for, hvor meget de kan tåle, ved at overskride den, samt at det er naturligt, at de unge lærer at drikke i selskab med deres venner.</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Denne liberale indstilling til unges alkoholforbrug genfindes i nogen grad, når forældrene skal sætte regler for, hvor meget deres eget barn må drikke, og hjemkomsttidspunkter fra fester. Fx er det tydeligt, at de forældre, som finder det naturligt, at unge drikker, og at unge drikker sammen med deres venner, også har meget lempelige regler på alkoholforbrug og hjemkomsttidspunkter fra fester.</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b/>
          <w:bCs/>
          <w:color w:val="333333"/>
        </w:rPr>
        <w:t>Rimeligt konsistente forældreholdninger</w:t>
      </w:r>
      <w:r w:rsidRPr="00DF5D7B">
        <w:rPr>
          <w:rFonts w:ascii="Arial" w:hAnsi="Arial" w:cs="Arial"/>
          <w:b/>
          <w:bCs/>
          <w:color w:val="333333"/>
        </w:rPr>
        <w:br/>
      </w:r>
      <w:r w:rsidRPr="00DF5D7B">
        <w:rPr>
          <w:rFonts w:ascii="Arial" w:hAnsi="Arial" w:cs="Arial"/>
          <w:color w:val="333333"/>
        </w:rPr>
        <w:t>Forældrene er altså rimeligt konsistente i deres holdninger og måde at sætte regler for de unge på. At have liberalt indstillede forældre, som har tillid til, at deres børn en dag får et fornuftigt forhold til alkohol, smitter af på de unge, som positionerer sig som mest modne i fokusgrupperne. Forældrekontrol er ifølge de unge ikke alene upopulær, men også et udtryk for, at de voksne ikke har tillid til, at de unge selv er voksne nok til at styre det.</w:t>
      </w:r>
    </w:p>
    <w:p w:rsidR="00DF5D7B" w:rsidRPr="00DF5D7B" w:rsidRDefault="00DF5D7B" w:rsidP="00DF5D7B">
      <w:pPr>
        <w:shd w:val="clear" w:color="auto" w:fill="FFFFFF"/>
        <w:spacing w:before="150" w:after="150" w:line="270" w:lineRule="atLeast"/>
        <w:rPr>
          <w:rFonts w:ascii="Arial" w:hAnsi="Arial" w:cs="Arial"/>
          <w:color w:val="333333"/>
        </w:rPr>
      </w:pPr>
      <w:r w:rsidRPr="00DF5D7B">
        <w:rPr>
          <w:rFonts w:ascii="Arial" w:hAnsi="Arial" w:cs="Arial"/>
          <w:color w:val="333333"/>
        </w:rPr>
        <w:t>Derfor er det tankevækkende, at den statistiske analyse peger på, at forældre, som har strenge regler for, hvor mange genstande, de unge må drikke, når de er til fest, og som har faste hjemkomsttidspunkter, har unge, som i mindre grad har drukket fem eller flere genstande inden for den sidste måned.</w:t>
      </w:r>
    </w:p>
    <w:p w:rsidR="00DF5D7B" w:rsidRPr="00DF5D7B" w:rsidRDefault="00DF5D7B" w:rsidP="00DF5D7B">
      <w:pPr>
        <w:shd w:val="clear" w:color="auto" w:fill="FFFFFF"/>
        <w:spacing w:before="150" w:line="270" w:lineRule="atLeast"/>
        <w:rPr>
          <w:rFonts w:ascii="Arial" w:hAnsi="Arial" w:cs="Arial"/>
          <w:color w:val="333333"/>
        </w:rPr>
      </w:pPr>
      <w:r w:rsidRPr="00DF5D7B">
        <w:rPr>
          <w:rFonts w:ascii="Arial" w:hAnsi="Arial" w:cs="Arial"/>
          <w:color w:val="333333"/>
        </w:rPr>
        <w:t>Undersøgelsen peger således på, at det er vigtigt, at forældrene tør sætte grænser for de unges alkoholforbrug og festliv, hvis de unge skal debutere senere, og det høje forbrug nedsættes.</w:t>
      </w:r>
    </w:p>
    <w:p w:rsidR="00DF5D7B" w:rsidRDefault="00DF5D7B"/>
    <w:sectPr w:rsidR="00DF5D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7B"/>
    <w:rsid w:val="002051C1"/>
    <w:rsid w:val="00246C91"/>
    <w:rsid w:val="00C269DE"/>
    <w:rsid w:val="00DF5D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1C1"/>
    <w:rPr>
      <w:sz w:val="24"/>
      <w:szCs w:val="24"/>
    </w:rPr>
  </w:style>
  <w:style w:type="paragraph" w:styleId="Overskrift1">
    <w:name w:val="heading 1"/>
    <w:basedOn w:val="Normal"/>
    <w:link w:val="Overskrift1Tegn"/>
    <w:uiPriority w:val="9"/>
    <w:qFormat/>
    <w:rsid w:val="002051C1"/>
    <w:pPr>
      <w:outlineLvl w:val="0"/>
    </w:pPr>
    <w:rPr>
      <w:b/>
      <w:bCs/>
      <w:color w:val="000000"/>
      <w:kern w:val="36"/>
      <w:sz w:val="42"/>
      <w:szCs w:val="42"/>
    </w:rPr>
  </w:style>
  <w:style w:type="paragraph" w:styleId="Overskrift2">
    <w:name w:val="heading 2"/>
    <w:basedOn w:val="Normal"/>
    <w:link w:val="Overskrift2Tegn"/>
    <w:uiPriority w:val="9"/>
    <w:qFormat/>
    <w:rsid w:val="00DF5D7B"/>
    <w:pPr>
      <w:spacing w:before="150" w:after="150" w:line="270" w:lineRule="atLeast"/>
      <w:outlineLvl w:val="1"/>
    </w:pPr>
    <w:rPr>
      <w:sz w:val="42"/>
      <w:szCs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51C1"/>
    <w:rPr>
      <w:b/>
      <w:bCs/>
      <w:color w:val="000000"/>
      <w:kern w:val="36"/>
      <w:sz w:val="42"/>
      <w:szCs w:val="42"/>
    </w:rPr>
  </w:style>
  <w:style w:type="character" w:styleId="Strk">
    <w:name w:val="Strong"/>
    <w:basedOn w:val="Standardskrifttypeiafsnit"/>
    <w:uiPriority w:val="22"/>
    <w:qFormat/>
    <w:rsid w:val="002051C1"/>
    <w:rPr>
      <w:b/>
      <w:bCs/>
    </w:rPr>
  </w:style>
  <w:style w:type="character" w:customStyle="1" w:styleId="Overskrift2Tegn">
    <w:name w:val="Overskrift 2 Tegn"/>
    <w:basedOn w:val="Standardskrifttypeiafsnit"/>
    <w:link w:val="Overskrift2"/>
    <w:uiPriority w:val="9"/>
    <w:rsid w:val="00DF5D7B"/>
    <w:rPr>
      <w:sz w:val="42"/>
      <w:szCs w:val="42"/>
    </w:rPr>
  </w:style>
  <w:style w:type="character" w:styleId="Hyperlink">
    <w:name w:val="Hyperlink"/>
    <w:basedOn w:val="Standardskrifttypeiafsnit"/>
    <w:uiPriority w:val="99"/>
    <w:unhideWhenUsed/>
    <w:rsid w:val="00DF5D7B"/>
    <w:rPr>
      <w:strike w:val="0"/>
      <w:dstrike w:val="0"/>
      <w:color w:val="AC5300"/>
      <w:u w:val="none"/>
      <w:effect w:val="none"/>
    </w:rPr>
  </w:style>
  <w:style w:type="paragraph" w:styleId="NormalWeb">
    <w:name w:val="Normal (Web)"/>
    <w:basedOn w:val="Normal"/>
    <w:uiPriority w:val="99"/>
    <w:unhideWhenUsed/>
    <w:rsid w:val="00DF5D7B"/>
    <w:pPr>
      <w:spacing w:before="150" w:after="150" w:line="270" w:lineRule="atLeast"/>
    </w:pPr>
  </w:style>
  <w:style w:type="character" w:customStyle="1" w:styleId="createdate1">
    <w:name w:val="createdate1"/>
    <w:basedOn w:val="Standardskrifttypeiafsnit"/>
    <w:rsid w:val="00DF5D7B"/>
    <w:rPr>
      <w:sz w:val="22"/>
      <w:szCs w:val="22"/>
    </w:rPr>
  </w:style>
  <w:style w:type="character" w:customStyle="1" w:styleId="createby1">
    <w:name w:val="createby1"/>
    <w:basedOn w:val="Standardskrifttypeiafsnit"/>
    <w:rsid w:val="00DF5D7B"/>
    <w:rPr>
      <w:sz w:val="22"/>
      <w:szCs w:val="22"/>
    </w:rPr>
  </w:style>
  <w:style w:type="paragraph" w:styleId="Markeringsbobletekst">
    <w:name w:val="Balloon Text"/>
    <w:basedOn w:val="Normal"/>
    <w:link w:val="MarkeringsbobletekstTegn"/>
    <w:rsid w:val="00DF5D7B"/>
    <w:rPr>
      <w:rFonts w:ascii="Tahoma" w:hAnsi="Tahoma" w:cs="Tahoma"/>
      <w:sz w:val="16"/>
      <w:szCs w:val="16"/>
    </w:rPr>
  </w:style>
  <w:style w:type="character" w:customStyle="1" w:styleId="MarkeringsbobletekstTegn">
    <w:name w:val="Markeringsbobletekst Tegn"/>
    <w:basedOn w:val="Standardskrifttypeiafsnit"/>
    <w:link w:val="Markeringsbobletekst"/>
    <w:rsid w:val="00DF5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1C1"/>
    <w:rPr>
      <w:sz w:val="24"/>
      <w:szCs w:val="24"/>
    </w:rPr>
  </w:style>
  <w:style w:type="paragraph" w:styleId="Overskrift1">
    <w:name w:val="heading 1"/>
    <w:basedOn w:val="Normal"/>
    <w:link w:val="Overskrift1Tegn"/>
    <w:uiPriority w:val="9"/>
    <w:qFormat/>
    <w:rsid w:val="002051C1"/>
    <w:pPr>
      <w:outlineLvl w:val="0"/>
    </w:pPr>
    <w:rPr>
      <w:b/>
      <w:bCs/>
      <w:color w:val="000000"/>
      <w:kern w:val="36"/>
      <w:sz w:val="42"/>
      <w:szCs w:val="42"/>
    </w:rPr>
  </w:style>
  <w:style w:type="paragraph" w:styleId="Overskrift2">
    <w:name w:val="heading 2"/>
    <w:basedOn w:val="Normal"/>
    <w:link w:val="Overskrift2Tegn"/>
    <w:uiPriority w:val="9"/>
    <w:qFormat/>
    <w:rsid w:val="00DF5D7B"/>
    <w:pPr>
      <w:spacing w:before="150" w:after="150" w:line="270" w:lineRule="atLeast"/>
      <w:outlineLvl w:val="1"/>
    </w:pPr>
    <w:rPr>
      <w:sz w:val="42"/>
      <w:szCs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51C1"/>
    <w:rPr>
      <w:b/>
      <w:bCs/>
      <w:color w:val="000000"/>
      <w:kern w:val="36"/>
      <w:sz w:val="42"/>
      <w:szCs w:val="42"/>
    </w:rPr>
  </w:style>
  <w:style w:type="character" w:styleId="Strk">
    <w:name w:val="Strong"/>
    <w:basedOn w:val="Standardskrifttypeiafsnit"/>
    <w:uiPriority w:val="22"/>
    <w:qFormat/>
    <w:rsid w:val="002051C1"/>
    <w:rPr>
      <w:b/>
      <w:bCs/>
    </w:rPr>
  </w:style>
  <w:style w:type="character" w:customStyle="1" w:styleId="Overskrift2Tegn">
    <w:name w:val="Overskrift 2 Tegn"/>
    <w:basedOn w:val="Standardskrifttypeiafsnit"/>
    <w:link w:val="Overskrift2"/>
    <w:uiPriority w:val="9"/>
    <w:rsid w:val="00DF5D7B"/>
    <w:rPr>
      <w:sz w:val="42"/>
      <w:szCs w:val="42"/>
    </w:rPr>
  </w:style>
  <w:style w:type="character" w:styleId="Hyperlink">
    <w:name w:val="Hyperlink"/>
    <w:basedOn w:val="Standardskrifttypeiafsnit"/>
    <w:uiPriority w:val="99"/>
    <w:unhideWhenUsed/>
    <w:rsid w:val="00DF5D7B"/>
    <w:rPr>
      <w:strike w:val="0"/>
      <w:dstrike w:val="0"/>
      <w:color w:val="AC5300"/>
      <w:u w:val="none"/>
      <w:effect w:val="none"/>
    </w:rPr>
  </w:style>
  <w:style w:type="paragraph" w:styleId="NormalWeb">
    <w:name w:val="Normal (Web)"/>
    <w:basedOn w:val="Normal"/>
    <w:uiPriority w:val="99"/>
    <w:unhideWhenUsed/>
    <w:rsid w:val="00DF5D7B"/>
    <w:pPr>
      <w:spacing w:before="150" w:after="150" w:line="270" w:lineRule="atLeast"/>
    </w:pPr>
  </w:style>
  <w:style w:type="character" w:customStyle="1" w:styleId="createdate1">
    <w:name w:val="createdate1"/>
    <w:basedOn w:val="Standardskrifttypeiafsnit"/>
    <w:rsid w:val="00DF5D7B"/>
    <w:rPr>
      <w:sz w:val="22"/>
      <w:szCs w:val="22"/>
    </w:rPr>
  </w:style>
  <w:style w:type="character" w:customStyle="1" w:styleId="createby1">
    <w:name w:val="createby1"/>
    <w:basedOn w:val="Standardskrifttypeiafsnit"/>
    <w:rsid w:val="00DF5D7B"/>
    <w:rPr>
      <w:sz w:val="22"/>
      <w:szCs w:val="22"/>
    </w:rPr>
  </w:style>
  <w:style w:type="paragraph" w:styleId="Markeringsbobletekst">
    <w:name w:val="Balloon Text"/>
    <w:basedOn w:val="Normal"/>
    <w:link w:val="MarkeringsbobletekstTegn"/>
    <w:rsid w:val="00DF5D7B"/>
    <w:rPr>
      <w:rFonts w:ascii="Tahoma" w:hAnsi="Tahoma" w:cs="Tahoma"/>
      <w:sz w:val="16"/>
      <w:szCs w:val="16"/>
    </w:rPr>
  </w:style>
  <w:style w:type="character" w:customStyle="1" w:styleId="MarkeringsbobletekstTegn">
    <w:name w:val="Markeringsbobletekst Tegn"/>
    <w:basedOn w:val="Standardskrifttypeiafsnit"/>
    <w:link w:val="Markeringsbobletekst"/>
    <w:rsid w:val="00DF5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04268">
      <w:bodyDiv w:val="1"/>
      <w:marLeft w:val="0"/>
      <w:marRight w:val="0"/>
      <w:marTop w:val="0"/>
      <w:marBottom w:val="0"/>
      <w:divBdr>
        <w:top w:val="none" w:sz="0" w:space="0" w:color="auto"/>
        <w:left w:val="none" w:sz="0" w:space="0" w:color="auto"/>
        <w:bottom w:val="none" w:sz="0" w:space="0" w:color="auto"/>
        <w:right w:val="none" w:sz="0" w:space="0" w:color="auto"/>
      </w:divBdr>
      <w:divsChild>
        <w:div w:id="380599664">
          <w:marLeft w:val="0"/>
          <w:marRight w:val="0"/>
          <w:marTop w:val="0"/>
          <w:marBottom w:val="0"/>
          <w:divBdr>
            <w:top w:val="single" w:sz="2" w:space="0" w:color="FFFFFF"/>
            <w:left w:val="none" w:sz="0" w:space="0" w:color="auto"/>
            <w:bottom w:val="none" w:sz="0" w:space="0" w:color="auto"/>
            <w:right w:val="none" w:sz="0" w:space="0" w:color="auto"/>
          </w:divBdr>
          <w:divsChild>
            <w:div w:id="1059013854">
              <w:marLeft w:val="0"/>
              <w:marRight w:val="0"/>
              <w:marTop w:val="0"/>
              <w:marBottom w:val="0"/>
              <w:divBdr>
                <w:top w:val="none" w:sz="0" w:space="0" w:color="auto"/>
                <w:left w:val="none" w:sz="0" w:space="0" w:color="auto"/>
                <w:bottom w:val="none" w:sz="0" w:space="0" w:color="auto"/>
                <w:right w:val="none" w:sz="0" w:space="0" w:color="auto"/>
              </w:divBdr>
              <w:divsChild>
                <w:div w:id="8334891">
                  <w:marLeft w:val="0"/>
                  <w:marRight w:val="0"/>
                  <w:marTop w:val="0"/>
                  <w:marBottom w:val="0"/>
                  <w:divBdr>
                    <w:top w:val="none" w:sz="0" w:space="0" w:color="auto"/>
                    <w:left w:val="none" w:sz="0" w:space="0" w:color="auto"/>
                    <w:bottom w:val="none" w:sz="0" w:space="0" w:color="auto"/>
                    <w:right w:val="none" w:sz="0" w:space="0" w:color="auto"/>
                  </w:divBdr>
                  <w:divsChild>
                    <w:div w:id="1953784962">
                      <w:marLeft w:val="0"/>
                      <w:marRight w:val="0"/>
                      <w:marTop w:val="0"/>
                      <w:marBottom w:val="150"/>
                      <w:divBdr>
                        <w:top w:val="none" w:sz="0" w:space="0" w:color="auto"/>
                        <w:left w:val="none" w:sz="0" w:space="0" w:color="auto"/>
                        <w:bottom w:val="none" w:sz="0" w:space="0" w:color="auto"/>
                        <w:right w:val="none" w:sz="0" w:space="0" w:color="auto"/>
                      </w:divBdr>
                      <w:divsChild>
                        <w:div w:id="328757486">
                          <w:marLeft w:val="0"/>
                          <w:marRight w:val="0"/>
                          <w:marTop w:val="0"/>
                          <w:marBottom w:val="0"/>
                          <w:divBdr>
                            <w:top w:val="none" w:sz="0" w:space="0" w:color="auto"/>
                            <w:left w:val="none" w:sz="0" w:space="0" w:color="auto"/>
                            <w:bottom w:val="none" w:sz="0" w:space="0" w:color="auto"/>
                            <w:right w:val="none" w:sz="0" w:space="0" w:color="auto"/>
                          </w:divBdr>
                          <w:divsChild>
                            <w:div w:id="2131775294">
                              <w:marLeft w:val="0"/>
                              <w:marRight w:val="0"/>
                              <w:marTop w:val="0"/>
                              <w:marBottom w:val="0"/>
                              <w:divBdr>
                                <w:top w:val="none" w:sz="0" w:space="0" w:color="auto"/>
                                <w:left w:val="none" w:sz="0" w:space="0" w:color="auto"/>
                                <w:bottom w:val="none" w:sz="0" w:space="0" w:color="auto"/>
                                <w:right w:val="none" w:sz="0" w:space="0" w:color="auto"/>
                              </w:divBdr>
                              <w:divsChild>
                                <w:div w:id="310326356">
                                  <w:marLeft w:val="0"/>
                                  <w:marRight w:val="0"/>
                                  <w:marTop w:val="0"/>
                                  <w:marBottom w:val="0"/>
                                  <w:divBdr>
                                    <w:top w:val="none" w:sz="0" w:space="0" w:color="auto"/>
                                    <w:left w:val="none" w:sz="0" w:space="0" w:color="auto"/>
                                    <w:bottom w:val="none" w:sz="0" w:space="0" w:color="auto"/>
                                    <w:right w:val="none" w:sz="0" w:space="0" w:color="auto"/>
                                  </w:divBdr>
                                  <w:divsChild>
                                    <w:div w:id="1425540326">
                                      <w:marLeft w:val="0"/>
                                      <w:marRight w:val="0"/>
                                      <w:marTop w:val="0"/>
                                      <w:marBottom w:val="0"/>
                                      <w:divBdr>
                                        <w:top w:val="none" w:sz="0" w:space="0" w:color="auto"/>
                                        <w:left w:val="none" w:sz="0" w:space="0" w:color="auto"/>
                                        <w:bottom w:val="none" w:sz="0" w:space="0" w:color="auto"/>
                                        <w:right w:val="none" w:sz="0" w:space="0" w:color="auto"/>
                                      </w:divBdr>
                                      <w:divsChild>
                                        <w:div w:id="1479958387">
                                          <w:marLeft w:val="0"/>
                                          <w:marRight w:val="0"/>
                                          <w:marTop w:val="0"/>
                                          <w:marBottom w:val="150"/>
                                          <w:divBdr>
                                            <w:top w:val="none" w:sz="0" w:space="0" w:color="auto"/>
                                            <w:left w:val="none" w:sz="0" w:space="0" w:color="auto"/>
                                            <w:bottom w:val="none" w:sz="0" w:space="0" w:color="auto"/>
                                            <w:right w:val="none" w:sz="0" w:space="0" w:color="auto"/>
                                          </w:divBdr>
                                          <w:divsChild>
                                            <w:div w:id="1179006321">
                                              <w:marLeft w:val="0"/>
                                              <w:marRight w:val="0"/>
                                              <w:marTop w:val="0"/>
                                              <w:marBottom w:val="0"/>
                                              <w:divBdr>
                                                <w:top w:val="none" w:sz="0" w:space="0" w:color="auto"/>
                                                <w:left w:val="none" w:sz="0" w:space="0" w:color="auto"/>
                                                <w:bottom w:val="none" w:sz="0" w:space="0" w:color="auto"/>
                                                <w:right w:val="none" w:sz="0" w:space="0" w:color="auto"/>
                                              </w:divBdr>
                                            </w:div>
                                            <w:div w:id="13763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gasinet-rus.dk/index.php?view=article&amp;catid=110%3Aforskning-og-undersogelser&amp;id=169%3Aman-drikker-jo-ikke-bare-for-at-drikke&amp;tmpl=component&amp;print=1&amp;layout=default&amp;page=&amp;option=com_content&amp;Itemid=200" TargetMode="External"/><Relationship Id="rId5" Type="http://schemas.openxmlformats.org/officeDocument/2006/relationships/hyperlink" Target="http://www.magasinet-rus.dk/index.php?option=com_content&amp;view=article&amp;id=169:man-drikker-jo-ikke-bare-for-at-drikke&amp;catid=110:forskning-og-undersogelser&amp;Itemid=2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1475</Words>
  <Characters>7640</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SFI - Det Nationale Forskningscenter for Velfærd</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Krøyer</dc:creator>
  <cp:lastModifiedBy>Kirsten Krøyer</cp:lastModifiedBy>
  <cp:revision>1</cp:revision>
  <dcterms:created xsi:type="dcterms:W3CDTF">2016-01-06T11:44:00Z</dcterms:created>
  <dcterms:modified xsi:type="dcterms:W3CDTF">2016-01-06T11:46:00Z</dcterms:modified>
</cp:coreProperties>
</file>